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6C" w:rsidRDefault="00301F6C" w:rsidP="00301F6C">
      <w:pPr>
        <w:jc w:val="right"/>
        <w:rPr>
          <w:sz w:val="22"/>
          <w:szCs w:val="22"/>
        </w:rPr>
      </w:pPr>
      <w:r>
        <w:rPr>
          <w:sz w:val="22"/>
          <w:szCs w:val="22"/>
        </w:rPr>
        <w:t>Kietrz dn. 17.05.2013r.</w:t>
      </w:r>
    </w:p>
    <w:p w:rsidR="00301F6C" w:rsidRDefault="00301F6C" w:rsidP="00301F6C">
      <w:pPr>
        <w:ind w:left="6372"/>
        <w:rPr>
          <w:sz w:val="22"/>
          <w:szCs w:val="22"/>
        </w:rPr>
      </w:pPr>
    </w:p>
    <w:p w:rsidR="00301F6C" w:rsidRDefault="00301F6C" w:rsidP="00301F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posiedzenia Komisji rewizyjnej</w:t>
      </w:r>
    </w:p>
    <w:p w:rsidR="00301F6C" w:rsidRPr="00301F6C" w:rsidRDefault="00301F6C" w:rsidP="00301F6C">
      <w:pPr>
        <w:jc w:val="center"/>
        <w:rPr>
          <w:b/>
          <w:sz w:val="22"/>
          <w:szCs w:val="22"/>
        </w:rPr>
      </w:pPr>
      <w:r w:rsidRPr="00301F6C">
        <w:rPr>
          <w:b/>
          <w:sz w:val="22"/>
          <w:szCs w:val="22"/>
        </w:rPr>
        <w:t>z dnia 15 maja 2013 roku</w:t>
      </w:r>
    </w:p>
    <w:p w:rsidR="00301F6C" w:rsidRPr="00301F6C" w:rsidRDefault="00301F6C" w:rsidP="00301F6C">
      <w:pPr>
        <w:jc w:val="both"/>
        <w:rPr>
          <w:sz w:val="22"/>
          <w:szCs w:val="22"/>
        </w:rPr>
      </w:pP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Posiedzenie rozpoczęto o godz. 1</w:t>
      </w:r>
      <w:r w:rsidR="00846992">
        <w:rPr>
          <w:rFonts w:eastAsia="Arial Unicode MS"/>
          <w:sz w:val="22"/>
          <w:szCs w:val="22"/>
        </w:rPr>
        <w:t>2</w:t>
      </w:r>
      <w:r w:rsidR="00846992">
        <w:rPr>
          <w:rFonts w:eastAsia="Arial Unicode MS"/>
          <w:sz w:val="22"/>
          <w:szCs w:val="22"/>
          <w:vertAlign w:val="superscript"/>
        </w:rPr>
        <w:t>45</w:t>
      </w: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Stan komisji rewizyjnej: 4 członków – wszyscy obecni</w:t>
      </w: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W posiedzeniu uczestniczyli:</w:t>
      </w:r>
    </w:p>
    <w:p w:rsidR="00301F6C" w:rsidRPr="00301F6C" w:rsidRDefault="00301F6C" w:rsidP="00301F6C">
      <w:pPr>
        <w:pStyle w:val="Akapitzlist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Przewodniczący Rady Miejskiej w Kietrzu -  Czesław Gil</w:t>
      </w:r>
    </w:p>
    <w:p w:rsidR="00301F6C" w:rsidRPr="00301F6C" w:rsidRDefault="00301F6C" w:rsidP="00301F6C">
      <w:pPr>
        <w:pStyle w:val="Akapitzlist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Burmistrz Kietrza - Józef Matela</w:t>
      </w:r>
    </w:p>
    <w:p w:rsidR="00301F6C" w:rsidRPr="00301F6C" w:rsidRDefault="00301F6C" w:rsidP="00301F6C">
      <w:pPr>
        <w:pStyle w:val="Akapitzlist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Skarbnik Gminy - Agata Wołoszyn</w:t>
      </w: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Posiedzenie otworzył przewodniczący komisji Mirosław Skoczylas, powitał wszystkich obecnych i przedstawił porządek obrad. Do zaproponowanego porządku nie wniesiono uwag.</w:t>
      </w: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</w:p>
    <w:p w:rsidR="00301F6C" w:rsidRPr="00301F6C" w:rsidRDefault="00301F6C" w:rsidP="00301F6C">
      <w:pPr>
        <w:jc w:val="both"/>
        <w:rPr>
          <w:rFonts w:eastAsia="Arial Unicode MS"/>
          <w:sz w:val="22"/>
          <w:szCs w:val="22"/>
        </w:rPr>
      </w:pPr>
      <w:r w:rsidRPr="00301F6C">
        <w:rPr>
          <w:rFonts w:eastAsia="Arial Unicode MS"/>
          <w:sz w:val="22"/>
          <w:szCs w:val="22"/>
        </w:rPr>
        <w:t>Porządek przedstawia się następująco:</w:t>
      </w:r>
    </w:p>
    <w:p w:rsidR="00301F6C" w:rsidRPr="00301F6C" w:rsidRDefault="00301F6C" w:rsidP="00301F6C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301F6C">
        <w:rPr>
          <w:sz w:val="22"/>
          <w:szCs w:val="22"/>
        </w:rPr>
        <w:t>Zapoznanie się i analiza sprawozdania finansowego Gminy Kietrz za rok 2012 oraz sprawozdania rocznego z wykonania budżetu gminy Kietrz za rok 2012.</w:t>
      </w:r>
    </w:p>
    <w:p w:rsidR="00301F6C" w:rsidRPr="00301F6C" w:rsidRDefault="00301F6C" w:rsidP="00301F6C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301F6C">
        <w:rPr>
          <w:sz w:val="22"/>
          <w:szCs w:val="22"/>
        </w:rPr>
        <w:t>Sprawy bieżące.</w:t>
      </w:r>
    </w:p>
    <w:p w:rsidR="0048144D" w:rsidRDefault="0048144D"/>
    <w:p w:rsidR="00301F6C" w:rsidRPr="00301F6C" w:rsidRDefault="00301F6C">
      <w:pPr>
        <w:rPr>
          <w:b/>
          <w:sz w:val="22"/>
        </w:rPr>
      </w:pPr>
      <w:r>
        <w:rPr>
          <w:b/>
          <w:sz w:val="22"/>
        </w:rPr>
        <w:t>Ad.1</w:t>
      </w:r>
      <w:r w:rsidRPr="00301F6C">
        <w:rPr>
          <w:b/>
          <w:sz w:val="22"/>
        </w:rPr>
        <w:t>.</w:t>
      </w:r>
    </w:p>
    <w:p w:rsidR="00301F6C" w:rsidRPr="00301F6C" w:rsidRDefault="00301F6C" w:rsidP="00301F6C">
      <w:pPr>
        <w:rPr>
          <w:sz w:val="22"/>
        </w:rPr>
      </w:pPr>
      <w:r w:rsidRPr="00301F6C">
        <w:rPr>
          <w:sz w:val="22"/>
        </w:rPr>
        <w:t>W wyniku analizy sprawozdań członkowie komisji poprosili</w:t>
      </w:r>
      <w:r>
        <w:rPr>
          <w:sz w:val="22"/>
        </w:rPr>
        <w:t xml:space="preserve"> </w:t>
      </w:r>
      <w:r w:rsidRPr="00301F6C">
        <w:rPr>
          <w:sz w:val="22"/>
        </w:rPr>
        <w:t>o wyjaśnienie następujących kwestii:</w:t>
      </w:r>
    </w:p>
    <w:p w:rsidR="00301F6C" w:rsidRPr="00301F6C" w:rsidRDefault="00301F6C" w:rsidP="00301F6C">
      <w:pPr>
        <w:rPr>
          <w:sz w:val="22"/>
        </w:rPr>
      </w:pPr>
    </w:p>
    <w:p w:rsidR="00301F6C" w:rsidRPr="00301F6C" w:rsidRDefault="00301F6C" w:rsidP="00301F6C">
      <w:pPr>
        <w:numPr>
          <w:ilvl w:val="0"/>
          <w:numId w:val="2"/>
        </w:numPr>
        <w:suppressAutoHyphens w:val="0"/>
        <w:rPr>
          <w:i/>
          <w:sz w:val="22"/>
        </w:rPr>
      </w:pPr>
      <w:r w:rsidRPr="00301F6C">
        <w:rPr>
          <w:i/>
          <w:sz w:val="22"/>
        </w:rPr>
        <w:t>Umorzenia, rozłożenia na raty i ulgi ustawowe w podatkach lokalnych:</w:t>
      </w:r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 xml:space="preserve">Komisja odnosząc się do roku 2011 zauważyła wzrost w zakresie udzielonych umorzeń i rozłożenia na raty, Burmistrz wyjaśnił iż nie ma wpływu na liczbę składanych podań z prośbą o umorzenie bądź rozłożenie na raty, gdyż jest to indywidualne prawo podatnika z którego może korzystać. Podobnie jest z ustawową ulgą inwestycyjną, z której korzysta w sposób ciągły (jedną kończy, drugą rozpoczyna)  tutejszy Kombinat Rolny w Kietrzu. 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</w:p>
    <w:p w:rsidR="00301F6C" w:rsidRPr="00301F6C" w:rsidRDefault="00301F6C" w:rsidP="00301F6C">
      <w:pPr>
        <w:numPr>
          <w:ilvl w:val="0"/>
          <w:numId w:val="2"/>
        </w:numPr>
        <w:suppressAutoHyphens w:val="0"/>
        <w:jc w:val="both"/>
        <w:rPr>
          <w:i/>
          <w:sz w:val="22"/>
        </w:rPr>
      </w:pPr>
      <w:r w:rsidRPr="00301F6C">
        <w:rPr>
          <w:i/>
          <w:sz w:val="22"/>
        </w:rPr>
        <w:t>Zaległości podatkowe oraz w wieczystym użytkowaniu i czynszach:</w:t>
      </w:r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 xml:space="preserve">- zaległości w wieczystym użytkowaniu w kwocie 10.765,89zł stanowi zaległość bieżącą z roku 2012 w kwocie 1.811,97zł a pozostała kwota stanowi zaległości z lat ubiegłych. Skarbnik wyjaśniła, iż  powyższe wartości wynikają z zadłużenia u 43 osób, do których bezskutecznie wysyłano wezwania do zapłaty. W roku bieżącym niewykluczone, że sprawy będą </w:t>
      </w:r>
      <w:r w:rsidR="003D5F96">
        <w:rPr>
          <w:sz w:val="22"/>
        </w:rPr>
        <w:t>skierowane</w:t>
      </w:r>
      <w:r w:rsidRPr="00301F6C">
        <w:rPr>
          <w:sz w:val="22"/>
        </w:rPr>
        <w:t xml:space="preserve"> na drogę sądową;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>- zaległości z tytułu najmu i dzierżawy w kwocie 43.311,62 stanowią zaległość bieżącą z roku 2012 w kwocie 12.439,77zł  a pozostała kwota stanowi zaległość z lat ubiegłych. Na powyższe składa się zaległość u 42 dłużników;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bookmarkStart w:id="0" w:name="_GoBack"/>
      <w:bookmarkEnd w:id="0"/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>- zaległość w podatku od nieruchomości, rolnym i od środków transportowych w kwocie 744.799,03 z czego: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r w:rsidRPr="00301F6C">
        <w:rPr>
          <w:sz w:val="22"/>
        </w:rPr>
        <w:t>* osoby prawne – 391.877,30zł, jest to zadłużenie z tytułu podatku od nieruchomości u 18 podmiotów, w tym 3 posiada zaległość w kwocie powyżej 10.000zł. Skarbnik wyjaśniała, iż Gmina zajęła hipoteki dłużników z tego tytułu na kwotę 323.044,31zł.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r w:rsidRPr="00301F6C">
        <w:rPr>
          <w:sz w:val="22"/>
        </w:rPr>
        <w:t>* osoby fizyczne – 260.008,42zł, jest to zadłużenie z tytułu podatku od nieruchomości w kwocie 260.008,12zł, podatku rolnego w kwocie 68.811,12zł i podatku od środków transportu w kwocie 23.990,00zł. Razem na zaległość składa się 445 dłużników. Gmina zajęła hipoteki dłużników na kwotę 17.535,20zł.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>Skarbnik wyjaśniła, iż zgodnie z przyjętymi zasadami komórka zajmująca się podatkami prowadzi postępowanie egzekucyjne w następującej kolejności: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r w:rsidRPr="00301F6C">
        <w:rPr>
          <w:sz w:val="22"/>
        </w:rPr>
        <w:t xml:space="preserve">- wysyła do 1 miesiąca po racie upomnienia – w roku 2012 w ilości 1.211szt, 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r w:rsidRPr="00301F6C">
        <w:rPr>
          <w:sz w:val="22"/>
        </w:rPr>
        <w:lastRenderedPageBreak/>
        <w:t xml:space="preserve">- do 1 miesiąca po otrzymaniu upomnienia a nie wpłaceniu zaległości wysyłane są tytuły egzekucyjne do Urzędu Skarbowego – w 2012r. w ilości 446szt, 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  <w:r w:rsidRPr="00301F6C">
        <w:rPr>
          <w:sz w:val="22"/>
        </w:rPr>
        <w:t>- później zajmowana jest hipoteka.</w:t>
      </w:r>
    </w:p>
    <w:p w:rsidR="00301F6C" w:rsidRPr="00301F6C" w:rsidRDefault="00301F6C" w:rsidP="00301F6C">
      <w:pPr>
        <w:jc w:val="both"/>
        <w:rPr>
          <w:sz w:val="22"/>
        </w:rPr>
      </w:pPr>
    </w:p>
    <w:p w:rsidR="00301F6C" w:rsidRPr="00301F6C" w:rsidRDefault="00301F6C" w:rsidP="00301F6C">
      <w:pPr>
        <w:numPr>
          <w:ilvl w:val="0"/>
          <w:numId w:val="2"/>
        </w:numPr>
        <w:suppressAutoHyphens w:val="0"/>
        <w:jc w:val="both"/>
        <w:rPr>
          <w:i/>
          <w:sz w:val="22"/>
        </w:rPr>
      </w:pPr>
      <w:r w:rsidRPr="00301F6C">
        <w:rPr>
          <w:i/>
          <w:sz w:val="22"/>
        </w:rPr>
        <w:t>Niski stopień zrealizowanych dochodów budżetowych w rozdz. 92109 – Domy i ośrodki kultury, świetlice i kluby:</w:t>
      </w:r>
    </w:p>
    <w:p w:rsidR="00301F6C" w:rsidRPr="00301F6C" w:rsidRDefault="00301F6C" w:rsidP="00301F6C">
      <w:pPr>
        <w:jc w:val="both"/>
        <w:rPr>
          <w:sz w:val="22"/>
        </w:rPr>
      </w:pPr>
      <w:r w:rsidRPr="00301F6C">
        <w:rPr>
          <w:sz w:val="22"/>
        </w:rPr>
        <w:t>Zaplanowane dochody w tym rozdziale w kwocie 220.550,00zł zostały zrealizowane do kwoty 69.726,07zł co stanowi 31,61%. Skarbnik uzasadniała, iż niski stopień wykonania dochodów w całym rozdziale wynika z faktu zerowego wykonania środków w kwocie 150.900,00zł, które miały wpłynąć z PROW jako zwrot wydatków na  za remont świetlicy w Dzierżysławiu. Dochód ten został zrealizowany dopiero w 2013 roku.</w:t>
      </w:r>
    </w:p>
    <w:p w:rsidR="00301F6C" w:rsidRPr="00301F6C" w:rsidRDefault="00301F6C" w:rsidP="00301F6C">
      <w:pPr>
        <w:ind w:left="360"/>
        <w:jc w:val="both"/>
        <w:rPr>
          <w:sz w:val="22"/>
        </w:rPr>
      </w:pPr>
    </w:p>
    <w:p w:rsidR="00301F6C" w:rsidRDefault="00301F6C">
      <w:r w:rsidRPr="00301F6C">
        <w:rPr>
          <w:b/>
        </w:rPr>
        <w:t>Ad.2</w:t>
      </w:r>
      <w:r>
        <w:t>. Brak</w:t>
      </w:r>
    </w:p>
    <w:p w:rsidR="00301F6C" w:rsidRDefault="00301F6C"/>
    <w:p w:rsidR="00301F6C" w:rsidRDefault="00301F6C"/>
    <w:p w:rsidR="00301F6C" w:rsidRPr="00301F6C" w:rsidRDefault="00301F6C" w:rsidP="00301F6C">
      <w:pPr>
        <w:jc w:val="both"/>
        <w:rPr>
          <w:sz w:val="22"/>
          <w:szCs w:val="22"/>
          <w:vertAlign w:val="superscript"/>
        </w:rPr>
      </w:pPr>
      <w:r w:rsidRPr="00301F6C">
        <w:rPr>
          <w:sz w:val="22"/>
          <w:szCs w:val="22"/>
        </w:rPr>
        <w:t>Posiedzenie komisji zakończono o godz. 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</w:p>
    <w:p w:rsidR="00301F6C" w:rsidRDefault="00301F6C" w:rsidP="00301F6C">
      <w:pPr>
        <w:jc w:val="both"/>
        <w:rPr>
          <w:sz w:val="22"/>
          <w:szCs w:val="22"/>
        </w:rPr>
      </w:pPr>
      <w:r w:rsidRPr="00301F6C">
        <w:rPr>
          <w:sz w:val="22"/>
          <w:szCs w:val="22"/>
        </w:rPr>
        <w:t xml:space="preserve">Protokołowała: </w:t>
      </w:r>
      <w:r w:rsidR="00846992">
        <w:rPr>
          <w:sz w:val="22"/>
          <w:szCs w:val="22"/>
        </w:rPr>
        <w:t xml:space="preserve">P. </w:t>
      </w:r>
      <w:proofErr w:type="spellStart"/>
      <w:r w:rsidR="00846992">
        <w:rPr>
          <w:sz w:val="22"/>
          <w:szCs w:val="22"/>
        </w:rPr>
        <w:t>Błachowicz</w:t>
      </w:r>
      <w:proofErr w:type="spellEnd"/>
    </w:p>
    <w:p w:rsidR="00301F6C" w:rsidRDefault="00301F6C" w:rsidP="00301F6C">
      <w:pPr>
        <w:jc w:val="both"/>
        <w:rPr>
          <w:sz w:val="22"/>
          <w:szCs w:val="22"/>
        </w:rPr>
      </w:pPr>
    </w:p>
    <w:p w:rsidR="00301F6C" w:rsidRPr="00301F6C" w:rsidRDefault="00301F6C" w:rsidP="00301F6C">
      <w:pPr>
        <w:jc w:val="both"/>
        <w:rPr>
          <w:sz w:val="22"/>
          <w:szCs w:val="22"/>
        </w:rPr>
      </w:pPr>
    </w:p>
    <w:p w:rsidR="00301F6C" w:rsidRPr="00301F6C" w:rsidRDefault="00301F6C" w:rsidP="00301F6C">
      <w:pPr>
        <w:jc w:val="both"/>
        <w:rPr>
          <w:sz w:val="22"/>
          <w:szCs w:val="22"/>
        </w:rPr>
      </w:pPr>
    </w:p>
    <w:p w:rsidR="00301F6C" w:rsidRPr="00301F6C" w:rsidRDefault="00301F6C" w:rsidP="00301F6C">
      <w:pPr>
        <w:ind w:left="4248" w:firstLine="708"/>
        <w:jc w:val="both"/>
        <w:rPr>
          <w:sz w:val="22"/>
          <w:szCs w:val="22"/>
        </w:rPr>
      </w:pPr>
      <w:r w:rsidRPr="00301F6C">
        <w:rPr>
          <w:sz w:val="22"/>
          <w:szCs w:val="22"/>
        </w:rPr>
        <w:t xml:space="preserve">Przewodniczący Komisji rewizyjnej </w:t>
      </w:r>
    </w:p>
    <w:p w:rsidR="00301F6C" w:rsidRPr="00301F6C" w:rsidRDefault="00301F6C" w:rsidP="00301F6C">
      <w:pPr>
        <w:jc w:val="both"/>
        <w:rPr>
          <w:sz w:val="22"/>
          <w:szCs w:val="22"/>
        </w:rPr>
      </w:pPr>
    </w:p>
    <w:p w:rsidR="00301F6C" w:rsidRPr="00301F6C" w:rsidRDefault="00301F6C" w:rsidP="00301F6C">
      <w:pPr>
        <w:ind w:left="4956" w:firstLine="708"/>
        <w:jc w:val="both"/>
        <w:rPr>
          <w:sz w:val="22"/>
          <w:szCs w:val="22"/>
        </w:rPr>
      </w:pPr>
      <w:r w:rsidRPr="00301F6C">
        <w:rPr>
          <w:sz w:val="22"/>
          <w:szCs w:val="22"/>
        </w:rPr>
        <w:t>Mirosław Skoczylas</w:t>
      </w:r>
    </w:p>
    <w:p w:rsidR="00301F6C" w:rsidRPr="00301F6C" w:rsidRDefault="00301F6C"/>
    <w:sectPr w:rsidR="00301F6C" w:rsidRPr="00301F6C" w:rsidSect="00F8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A4"/>
    <w:multiLevelType w:val="hybridMultilevel"/>
    <w:tmpl w:val="44003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22403"/>
    <w:multiLevelType w:val="hybridMultilevel"/>
    <w:tmpl w:val="08840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6D3"/>
    <w:rsid w:val="00301F6C"/>
    <w:rsid w:val="003D5F96"/>
    <w:rsid w:val="004546D3"/>
    <w:rsid w:val="0048144D"/>
    <w:rsid w:val="00841779"/>
    <w:rsid w:val="00846992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Paul</dc:creator>
  <cp:keywords/>
  <dc:description/>
  <cp:lastModifiedBy>Bogusława Paul</cp:lastModifiedBy>
  <cp:revision>4</cp:revision>
  <dcterms:created xsi:type="dcterms:W3CDTF">2013-05-20T08:03:00Z</dcterms:created>
  <dcterms:modified xsi:type="dcterms:W3CDTF">2013-05-24T06:51:00Z</dcterms:modified>
</cp:coreProperties>
</file>